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21" w:rsidRPr="00337421" w:rsidRDefault="00337421" w:rsidP="00337421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337421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Areas</w:t>
      </w:r>
      <w:proofErr w:type="spellEnd"/>
      <w:r w:rsidRPr="00337421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of </w:t>
      </w:r>
      <w:proofErr w:type="spellStart"/>
      <w:r w:rsidRPr="00337421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focus</w:t>
      </w:r>
      <w:proofErr w:type="spellEnd"/>
    </w:p>
    <w:p w:rsidR="003F4C94" w:rsidRPr="00D739FE" w:rsidRDefault="00D739FE" w:rsidP="00D739FE">
      <w:pPr>
        <w:ind w:left="360"/>
        <w:rPr>
          <w:rFonts w:ascii="Arial" w:eastAsia="Times New Roman" w:hAnsi="Arial" w:cs="Arial"/>
          <w:color w:val="444444"/>
          <w:sz w:val="18"/>
          <w:lang w:eastAsia="tr-TR"/>
        </w:rPr>
      </w:pPr>
      <w:r>
        <w:rPr>
          <w:rFonts w:ascii="Arial" w:eastAsia="Times New Roman" w:hAnsi="Arial" w:cs="Arial"/>
          <w:color w:val="444444"/>
          <w:sz w:val="18"/>
          <w:lang w:eastAsia="tr-TR"/>
        </w:rPr>
        <w:t>1.</w:t>
      </w:r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Peace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and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conflict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prevention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/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resolution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 </w:t>
      </w:r>
      <w:r w:rsidR="00337421"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br/>
      </w:r>
      <w:r w:rsidR="00337421"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2. 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Disease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prevention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and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treatment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 </w:t>
      </w:r>
      <w:r w:rsidR="00337421"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br/>
      </w:r>
      <w:r w:rsidR="00337421"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3. 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Water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and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sanitation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 </w:t>
      </w:r>
      <w:r w:rsidR="00337421"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br/>
      </w:r>
      <w:r w:rsidR="00337421"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4. 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Maternal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and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child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health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 </w:t>
      </w:r>
      <w:r w:rsidR="00337421"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br/>
      </w:r>
      <w:r w:rsidR="00337421"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5. 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Basic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education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and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literacy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 </w:t>
      </w:r>
      <w:r w:rsidR="00337421"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br/>
      </w:r>
      <w:r w:rsidR="00337421"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6. 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Economic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and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community</w:t>
      </w:r>
      <w:proofErr w:type="spellEnd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 xml:space="preserve"> </w:t>
      </w:r>
      <w:proofErr w:type="spellStart"/>
      <w:r w:rsidR="00337421" w:rsidRPr="00D739FE">
        <w:rPr>
          <w:rFonts w:ascii="Arial" w:eastAsia="Times New Roman" w:hAnsi="Arial" w:cs="Arial"/>
          <w:color w:val="444444"/>
          <w:sz w:val="18"/>
          <w:lang w:eastAsia="tr-TR"/>
        </w:rPr>
        <w:t>development</w:t>
      </w:r>
      <w:proofErr w:type="spellEnd"/>
    </w:p>
    <w:p w:rsidR="00D739FE" w:rsidRPr="00D739FE" w:rsidRDefault="00D739FE" w:rsidP="00D739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pict>
          <v:rect id="_x0000_i1025" style="width:0;height:.75pt" o:hralign="center" o:hrstd="t" o:hrnoshade="t" o:hr="t" fillcolor="#dcd7c8" stroked="f"/>
        </w:pict>
      </w:r>
    </w:p>
    <w:p w:rsidR="00D739FE" w:rsidRPr="00D739FE" w:rsidRDefault="00D739FE" w:rsidP="00D739FE">
      <w:pPr>
        <w:shd w:val="clear" w:color="auto" w:fill="FFFFFF"/>
        <w:spacing w:before="150" w:after="0" w:line="315" w:lineRule="atLeast"/>
        <w:outlineLvl w:val="1"/>
        <w:rPr>
          <w:rFonts w:ascii="Georgia" w:eastAsia="Times New Roman" w:hAnsi="Georgia" w:cs="Times New Roman"/>
          <w:b/>
          <w:bCs/>
          <w:color w:val="777777"/>
          <w:sz w:val="31"/>
          <w:szCs w:val="31"/>
          <w:lang w:eastAsia="tr-TR"/>
        </w:rPr>
      </w:pPr>
      <w:r w:rsidRPr="00D739FE">
        <w:rPr>
          <w:rFonts w:ascii="Georgia" w:eastAsia="Times New Roman" w:hAnsi="Georgia" w:cs="Times New Roman"/>
          <w:b/>
          <w:bCs/>
          <w:color w:val="777777"/>
          <w:sz w:val="31"/>
          <w:szCs w:val="31"/>
          <w:lang w:eastAsia="tr-TR"/>
        </w:rPr>
        <w:t> </w:t>
      </w:r>
      <w:proofErr w:type="spellStart"/>
      <w:r w:rsidRPr="00D739FE">
        <w:rPr>
          <w:rFonts w:ascii="Georgia" w:eastAsia="Times New Roman" w:hAnsi="Georgia" w:cs="Times New Roman"/>
          <w:b/>
          <w:bCs/>
          <w:color w:val="777777"/>
          <w:sz w:val="31"/>
          <w:szCs w:val="31"/>
          <w:lang w:eastAsia="tr-TR"/>
        </w:rPr>
        <w:t>Areas</w:t>
      </w:r>
      <w:proofErr w:type="spellEnd"/>
      <w:r w:rsidRPr="00D739FE">
        <w:rPr>
          <w:rFonts w:ascii="Georgia" w:eastAsia="Times New Roman" w:hAnsi="Georgia" w:cs="Times New Roman"/>
          <w:b/>
          <w:bCs/>
          <w:color w:val="777777"/>
          <w:sz w:val="31"/>
          <w:szCs w:val="31"/>
          <w:lang w:eastAsia="tr-TR"/>
        </w:rPr>
        <w:t xml:space="preserve"> of </w:t>
      </w:r>
      <w:proofErr w:type="spellStart"/>
      <w:r w:rsidRPr="00D739FE">
        <w:rPr>
          <w:rFonts w:ascii="Georgia" w:eastAsia="Times New Roman" w:hAnsi="Georgia" w:cs="Times New Roman"/>
          <w:b/>
          <w:bCs/>
          <w:color w:val="777777"/>
          <w:sz w:val="31"/>
          <w:szCs w:val="31"/>
          <w:lang w:eastAsia="tr-TR"/>
        </w:rPr>
        <w:t>focus</w:t>
      </w:r>
      <w:proofErr w:type="spellEnd"/>
    </w:p>
    <w:p w:rsidR="00D739FE" w:rsidRPr="00D739FE" w:rsidRDefault="00D739FE" w:rsidP="00D739FE">
      <w:pPr>
        <w:shd w:val="clear" w:color="auto" w:fill="FFFFFF"/>
        <w:spacing w:before="180" w:after="0" w:line="315" w:lineRule="atLeast"/>
        <w:rPr>
          <w:rFonts w:ascii="Arial" w:eastAsia="Times New Roman" w:hAnsi="Arial" w:cs="Arial"/>
          <w:color w:val="444444"/>
          <w:sz w:val="26"/>
          <w:szCs w:val="26"/>
          <w:lang w:eastAsia="tr-TR"/>
        </w:rPr>
      </w:pPr>
      <w:proofErr w:type="spellStart"/>
      <w:r w:rsidRPr="00D739FE">
        <w:rPr>
          <w:rFonts w:ascii="Georgia" w:eastAsia="Times New Roman" w:hAnsi="Georgia" w:cs="Arial"/>
          <w:color w:val="777777"/>
          <w:sz w:val="86"/>
          <w:lang w:eastAsia="tr-TR"/>
        </w:rPr>
        <w:t>T</w:t>
      </w:r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he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Trustees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Rotary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Foundation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have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identified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six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areas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focus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new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grant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structure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.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These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areas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reflect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critical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humanitarian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issues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needs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that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Rotarians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are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addressing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worldwide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.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They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will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align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Rotary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with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other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international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development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efforts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will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strategically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further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26"/>
          <w:lang w:eastAsia="tr-TR"/>
        </w:rPr>
        <w:t> </w:t>
      </w:r>
      <w:proofErr w:type="spellStart"/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fldChar w:fldCharType="begin"/>
      </w:r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instrText xml:space="preserve"> HYPERLINK "http://www.rotary.org/en/AboutUs/TheRotaryFoundation/Pages/ridefault.aspx" </w:instrText>
      </w:r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fldChar w:fldCharType="separate"/>
      </w:r>
      <w:r w:rsidRPr="00D739FE">
        <w:rPr>
          <w:rFonts w:ascii="Arial" w:eastAsia="Times New Roman" w:hAnsi="Arial" w:cs="Arial"/>
          <w:color w:val="215DB1"/>
          <w:sz w:val="26"/>
          <w:u w:val="single"/>
          <w:lang w:eastAsia="tr-TR"/>
        </w:rPr>
        <w:t>Foundation's</w:t>
      </w:r>
      <w:proofErr w:type="spellEnd"/>
      <w:r w:rsidRPr="00D739FE">
        <w:rPr>
          <w:rFonts w:ascii="Arial" w:eastAsia="Times New Roman" w:hAnsi="Arial" w:cs="Arial"/>
          <w:color w:val="215DB1"/>
          <w:sz w:val="26"/>
          <w:u w:val="single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215DB1"/>
          <w:sz w:val="26"/>
          <w:u w:val="single"/>
          <w:lang w:eastAsia="tr-TR"/>
        </w:rPr>
        <w:t>mission</w:t>
      </w:r>
      <w:proofErr w:type="spellEnd"/>
      <w:r w:rsidRPr="00D739FE">
        <w:rPr>
          <w:rFonts w:ascii="Arial" w:eastAsia="Times New Roman" w:hAnsi="Arial" w:cs="Arial"/>
          <w:color w:val="215DB1"/>
          <w:sz w:val="26"/>
          <w:lang w:eastAsia="tr-TR"/>
        </w:rPr>
        <w:t> </w:t>
      </w:r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fldChar w:fldCharType="end"/>
      </w:r>
      <w:r w:rsidRPr="00D739FE">
        <w:rPr>
          <w:rFonts w:ascii="Arial" w:eastAsia="Times New Roman" w:hAnsi="Arial" w:cs="Arial"/>
          <w:color w:val="444444"/>
          <w:sz w:val="26"/>
          <w:szCs w:val="26"/>
          <w:lang w:eastAsia="tr-TR"/>
        </w:rPr>
        <w:t>.</w:t>
      </w:r>
    </w:p>
    <w:p w:rsidR="00D739FE" w:rsidRPr="00D739FE" w:rsidRDefault="00D739FE" w:rsidP="00D739FE">
      <w:pPr>
        <w:shd w:val="clear" w:color="auto" w:fill="FFFFFF"/>
        <w:spacing w:after="0" w:line="336" w:lineRule="atLeast"/>
        <w:outlineLvl w:val="2"/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</w:pPr>
      <w:proofErr w:type="spellStart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>Statements</w:t>
      </w:r>
      <w:proofErr w:type="spellEnd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 xml:space="preserve"> of </w:t>
      </w:r>
      <w:proofErr w:type="spellStart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>purpose</w:t>
      </w:r>
      <w:proofErr w:type="spellEnd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>and</w:t>
      </w:r>
      <w:proofErr w:type="spellEnd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 xml:space="preserve"> </w:t>
      </w:r>
      <w:proofErr w:type="spellStart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>goals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Each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six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areas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focus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begins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with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a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statement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purpose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,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followed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a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list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specific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goals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.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Foundation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will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use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goals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establish</w:t>
      </w:r>
      <w:proofErr w:type="spellEnd"/>
    </w:p>
    <w:p w:rsidR="00D739FE" w:rsidRPr="00D739FE" w:rsidRDefault="00D739FE" w:rsidP="00D739FE">
      <w:pPr>
        <w:numPr>
          <w:ilvl w:val="0"/>
          <w:numId w:val="2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Projects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activities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packaged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gram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global</w:t>
      </w:r>
      <w:proofErr w:type="gram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grants</w:t>
      </w:r>
      <w:proofErr w:type="spellEnd"/>
    </w:p>
    <w:p w:rsidR="00D739FE" w:rsidRPr="00D739FE" w:rsidRDefault="00D739FE" w:rsidP="00D739FE">
      <w:pPr>
        <w:numPr>
          <w:ilvl w:val="0"/>
          <w:numId w:val="2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Possible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strategic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partners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packaged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gram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global</w:t>
      </w:r>
      <w:proofErr w:type="gram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grants</w:t>
      </w:r>
      <w:proofErr w:type="spellEnd"/>
    </w:p>
    <w:p w:rsidR="00D739FE" w:rsidRPr="00D739FE" w:rsidRDefault="00D739FE" w:rsidP="00D739FE">
      <w:pPr>
        <w:numPr>
          <w:ilvl w:val="0"/>
          <w:numId w:val="2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Evaluation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criteria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club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-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district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-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developed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gram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global</w:t>
      </w:r>
      <w:proofErr w:type="gram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grants</w:t>
      </w:r>
      <w:proofErr w:type="spellEnd"/>
    </w:p>
    <w:p w:rsidR="00D739FE" w:rsidRPr="00D739FE" w:rsidRDefault="00D739FE" w:rsidP="00D739FE">
      <w:pPr>
        <w:numPr>
          <w:ilvl w:val="0"/>
          <w:numId w:val="2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A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system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measuring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outcome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all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gram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global</w:t>
      </w:r>
      <w:proofErr w:type="gram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grants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hyperlink r:id="rId5" w:history="1"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Download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guidelines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lang w:eastAsia="tr-TR"/>
          </w:rPr>
          <w:t> </w:t>
        </w:r>
        <w:proofErr w:type="spellStart"/>
      </w:hyperlink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developing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eligible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projects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activities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within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areas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focus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.</w:t>
      </w:r>
    </w:p>
    <w:p w:rsidR="00D739FE" w:rsidRPr="00D739FE" w:rsidRDefault="00D739FE" w:rsidP="00D739FE">
      <w:pPr>
        <w:shd w:val="clear" w:color="auto" w:fill="FFFFFF"/>
        <w:spacing w:after="0" w:line="336" w:lineRule="atLeast"/>
        <w:outlineLvl w:val="2"/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</w:pPr>
      <w:proofErr w:type="spellStart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>Areas</w:t>
      </w:r>
      <w:proofErr w:type="spellEnd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 xml:space="preserve"> of </w:t>
      </w:r>
      <w:proofErr w:type="spellStart"/>
      <w:r w:rsidRPr="00D739FE">
        <w:rPr>
          <w:rFonts w:ascii="Georgia" w:eastAsia="Times New Roman" w:hAnsi="Georgia" w:cs="Times New Roman"/>
          <w:b/>
          <w:bCs/>
          <w:color w:val="777777"/>
          <w:sz w:val="26"/>
          <w:szCs w:val="26"/>
          <w:lang w:eastAsia="tr-TR"/>
        </w:rPr>
        <w:t>focus</w:t>
      </w:r>
      <w:proofErr w:type="spellEnd"/>
    </w:p>
    <w:p w:rsidR="00D739FE" w:rsidRPr="00D739FE" w:rsidRDefault="00D739FE" w:rsidP="00D739FE">
      <w:pPr>
        <w:numPr>
          <w:ilvl w:val="0"/>
          <w:numId w:val="3"/>
        </w:numPr>
        <w:shd w:val="clear" w:color="auto" w:fill="FFFFFF"/>
        <w:spacing w:after="0" w:line="408" w:lineRule="atLeast"/>
        <w:ind w:left="735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hyperlink r:id="rId6" w:anchor="peace" w:history="1"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Peace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and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conflict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prevention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/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resolution</w:t>
        </w:r>
        <w:proofErr w:type="spellEnd"/>
      </w:hyperlink>
    </w:p>
    <w:p w:rsidR="00D739FE" w:rsidRPr="00D739FE" w:rsidRDefault="00D739FE" w:rsidP="00D739FE">
      <w:pPr>
        <w:numPr>
          <w:ilvl w:val="0"/>
          <w:numId w:val="3"/>
        </w:numPr>
        <w:shd w:val="clear" w:color="auto" w:fill="FFFFFF"/>
        <w:spacing w:after="0" w:line="408" w:lineRule="atLeast"/>
        <w:ind w:left="735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hyperlink r:id="rId7" w:anchor="disease" w:history="1"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Disease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prevention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and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treatment</w:t>
        </w:r>
        <w:proofErr w:type="spellEnd"/>
      </w:hyperlink>
    </w:p>
    <w:p w:rsidR="00D739FE" w:rsidRPr="00D739FE" w:rsidRDefault="00D739FE" w:rsidP="00D739FE">
      <w:pPr>
        <w:numPr>
          <w:ilvl w:val="0"/>
          <w:numId w:val="3"/>
        </w:numPr>
        <w:shd w:val="clear" w:color="auto" w:fill="FFFFFF"/>
        <w:spacing w:after="0" w:line="408" w:lineRule="atLeast"/>
        <w:ind w:left="735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hyperlink r:id="rId8" w:anchor="water" w:history="1"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Water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and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sanitation</w:t>
        </w:r>
        <w:proofErr w:type="spellEnd"/>
      </w:hyperlink>
    </w:p>
    <w:p w:rsidR="00D739FE" w:rsidRPr="00D739FE" w:rsidRDefault="00D739FE" w:rsidP="00D739FE">
      <w:pPr>
        <w:numPr>
          <w:ilvl w:val="0"/>
          <w:numId w:val="3"/>
        </w:numPr>
        <w:shd w:val="clear" w:color="auto" w:fill="FFFFFF"/>
        <w:spacing w:after="0" w:line="408" w:lineRule="atLeast"/>
        <w:ind w:left="735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hyperlink r:id="rId9" w:anchor="maternal" w:history="1"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Maternal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and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child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health</w:t>
        </w:r>
        <w:proofErr w:type="spellEnd"/>
      </w:hyperlink>
    </w:p>
    <w:p w:rsidR="00D739FE" w:rsidRPr="00D739FE" w:rsidRDefault="00D739FE" w:rsidP="00D739FE">
      <w:pPr>
        <w:numPr>
          <w:ilvl w:val="0"/>
          <w:numId w:val="3"/>
        </w:numPr>
        <w:shd w:val="clear" w:color="auto" w:fill="FFFFFF"/>
        <w:spacing w:after="0" w:line="408" w:lineRule="atLeast"/>
        <w:ind w:left="735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hyperlink r:id="rId10" w:anchor="basic" w:history="1"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Basic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education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and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literacy</w:t>
        </w:r>
        <w:proofErr w:type="spellEnd"/>
      </w:hyperlink>
    </w:p>
    <w:p w:rsidR="00D739FE" w:rsidRPr="00D739FE" w:rsidRDefault="00D739FE" w:rsidP="00D739FE">
      <w:pPr>
        <w:numPr>
          <w:ilvl w:val="0"/>
          <w:numId w:val="3"/>
        </w:numPr>
        <w:shd w:val="clear" w:color="auto" w:fill="FFFFFF"/>
        <w:spacing w:after="0" w:line="408" w:lineRule="atLeast"/>
        <w:ind w:left="735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hyperlink r:id="rId11" w:anchor="economic" w:history="1"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Economic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and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community</w:t>
        </w:r>
        <w:proofErr w:type="spellEnd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 xml:space="preserve"> </w:t>
        </w:r>
        <w:proofErr w:type="spellStart"/>
        <w:r w:rsidRPr="00D739FE">
          <w:rPr>
            <w:rFonts w:ascii="Arial" w:eastAsia="Times New Roman" w:hAnsi="Arial" w:cs="Arial"/>
            <w:color w:val="215DB1"/>
            <w:sz w:val="18"/>
            <w:u w:val="single"/>
            <w:lang w:eastAsia="tr-TR"/>
          </w:rPr>
          <w:t>development</w:t>
        </w:r>
        <w:proofErr w:type="spellEnd"/>
      </w:hyperlink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bookmarkStart w:id="0" w:name="peace"/>
      <w:bookmarkEnd w:id="0"/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Peace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conflict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prevention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/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resolution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Rotary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Foundation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promotes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practice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peace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conflict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prevention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/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resolution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</w:p>
    <w:p w:rsidR="00D739FE" w:rsidRPr="00D739FE" w:rsidRDefault="00D739FE" w:rsidP="00D739FE">
      <w:pPr>
        <w:numPr>
          <w:ilvl w:val="0"/>
          <w:numId w:val="4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Strengthening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local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peace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efforts</w:t>
      </w:r>
      <w:proofErr w:type="spellEnd"/>
    </w:p>
    <w:p w:rsidR="00D739FE" w:rsidRPr="00D739FE" w:rsidRDefault="00D739FE" w:rsidP="00D739FE">
      <w:pPr>
        <w:numPr>
          <w:ilvl w:val="0"/>
          <w:numId w:val="4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Training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local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leaders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prevent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mediate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conflict</w:t>
      </w:r>
      <w:proofErr w:type="spellEnd"/>
    </w:p>
    <w:p w:rsidR="00D739FE" w:rsidRPr="00D739FE" w:rsidRDefault="00D739FE" w:rsidP="00D739FE">
      <w:pPr>
        <w:numPr>
          <w:ilvl w:val="0"/>
          <w:numId w:val="4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Supporting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long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-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term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peace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building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in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areas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affected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conflict</w:t>
      </w:r>
      <w:proofErr w:type="spellEnd"/>
    </w:p>
    <w:p w:rsidR="00D739FE" w:rsidRPr="00D739FE" w:rsidRDefault="00D739FE" w:rsidP="00D739FE">
      <w:pPr>
        <w:numPr>
          <w:ilvl w:val="0"/>
          <w:numId w:val="4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lastRenderedPageBreak/>
        <w:t>Assisting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vulnerable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populations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affected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conflict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,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particularly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children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youth</w:t>
      </w:r>
      <w:proofErr w:type="spellEnd"/>
    </w:p>
    <w:p w:rsidR="00D739FE" w:rsidRPr="00D739FE" w:rsidRDefault="00D739FE" w:rsidP="00D739FE">
      <w:pPr>
        <w:numPr>
          <w:ilvl w:val="0"/>
          <w:numId w:val="4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Supporting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studies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related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peace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conflict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resolution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bookmarkStart w:id="1" w:name="disease"/>
      <w:bookmarkEnd w:id="1"/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Disease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prevention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treatment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Rotary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Foundation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reduces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causes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effects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disease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</w:p>
    <w:p w:rsidR="00D739FE" w:rsidRPr="00D739FE" w:rsidRDefault="00D739FE" w:rsidP="00D739FE">
      <w:pPr>
        <w:numPr>
          <w:ilvl w:val="0"/>
          <w:numId w:val="5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Improving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capacity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local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health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care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professionals</w:t>
      </w:r>
      <w:proofErr w:type="spellEnd"/>
    </w:p>
    <w:p w:rsidR="00D739FE" w:rsidRPr="00D739FE" w:rsidRDefault="00D739FE" w:rsidP="00D739FE">
      <w:pPr>
        <w:numPr>
          <w:ilvl w:val="0"/>
          <w:numId w:val="5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Combating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gram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spread</w:t>
      </w:r>
      <w:proofErr w:type="gram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HIV/AIDS,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malaria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,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other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major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diseases</w:t>
      </w:r>
      <w:proofErr w:type="spellEnd"/>
    </w:p>
    <w:p w:rsidR="00D739FE" w:rsidRPr="00D739FE" w:rsidRDefault="00D739FE" w:rsidP="00D739FE">
      <w:pPr>
        <w:numPr>
          <w:ilvl w:val="0"/>
          <w:numId w:val="5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Enhancing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health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infrastructure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local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communities</w:t>
      </w:r>
      <w:proofErr w:type="spellEnd"/>
    </w:p>
    <w:p w:rsidR="00D739FE" w:rsidRPr="00D739FE" w:rsidRDefault="00D739FE" w:rsidP="00D739FE">
      <w:pPr>
        <w:numPr>
          <w:ilvl w:val="0"/>
          <w:numId w:val="5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Educating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mobilizing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help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prevent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gram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spread</w:t>
      </w:r>
      <w:proofErr w:type="gram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major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diseases</w:t>
      </w:r>
      <w:proofErr w:type="spellEnd"/>
    </w:p>
    <w:p w:rsidR="00D739FE" w:rsidRPr="00D739FE" w:rsidRDefault="00D739FE" w:rsidP="00D739FE">
      <w:pPr>
        <w:numPr>
          <w:ilvl w:val="0"/>
          <w:numId w:val="5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Supporting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studies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related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disease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prevention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treatment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bookmarkStart w:id="2" w:name="water"/>
      <w:bookmarkEnd w:id="2"/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Water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sanitation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Rotary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Foundation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ensures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that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people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have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sustainable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access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water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sanitation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</w:p>
    <w:p w:rsidR="00D739FE" w:rsidRPr="00D739FE" w:rsidRDefault="00D739FE" w:rsidP="00D739FE">
      <w:pPr>
        <w:numPr>
          <w:ilvl w:val="0"/>
          <w:numId w:val="6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Increasing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equitable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access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safe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drinking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water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basic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sanitation</w:t>
      </w:r>
      <w:proofErr w:type="spellEnd"/>
    </w:p>
    <w:p w:rsidR="00D739FE" w:rsidRPr="00D739FE" w:rsidRDefault="00D739FE" w:rsidP="00D739FE">
      <w:pPr>
        <w:numPr>
          <w:ilvl w:val="0"/>
          <w:numId w:val="6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Strengthening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ability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develop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maintain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sustainable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water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sanitation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systems</w:t>
      </w:r>
      <w:proofErr w:type="spellEnd"/>
    </w:p>
    <w:p w:rsidR="00D739FE" w:rsidRPr="00D739FE" w:rsidRDefault="00D739FE" w:rsidP="00D739FE">
      <w:pPr>
        <w:numPr>
          <w:ilvl w:val="0"/>
          <w:numId w:val="6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Educating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about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safe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water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,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sanitation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,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hygiene</w:t>
      </w:r>
      <w:proofErr w:type="spellEnd"/>
    </w:p>
    <w:p w:rsidR="00D739FE" w:rsidRPr="00D739FE" w:rsidRDefault="00D739FE" w:rsidP="00D739FE">
      <w:pPr>
        <w:numPr>
          <w:ilvl w:val="0"/>
          <w:numId w:val="6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Supporting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studies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related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water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sanitation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bookmarkStart w:id="3" w:name="maternal"/>
      <w:bookmarkEnd w:id="3"/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Maternal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child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health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Rotary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Foundation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improves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lives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mothers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their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children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</w:p>
    <w:p w:rsidR="00D739FE" w:rsidRPr="00D739FE" w:rsidRDefault="00D739FE" w:rsidP="00D739FE">
      <w:pPr>
        <w:numPr>
          <w:ilvl w:val="0"/>
          <w:numId w:val="7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Reducing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mortality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rate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children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under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age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five</w:t>
      </w:r>
      <w:proofErr w:type="spellEnd"/>
    </w:p>
    <w:p w:rsidR="00D739FE" w:rsidRPr="00D739FE" w:rsidRDefault="00D739FE" w:rsidP="00D739FE">
      <w:pPr>
        <w:numPr>
          <w:ilvl w:val="0"/>
          <w:numId w:val="7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Reducing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maternal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mortality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rate</w:t>
      </w:r>
    </w:p>
    <w:p w:rsidR="00D739FE" w:rsidRPr="00D739FE" w:rsidRDefault="00D739FE" w:rsidP="00D739FE">
      <w:pPr>
        <w:numPr>
          <w:ilvl w:val="0"/>
          <w:numId w:val="7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Improving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access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essential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medical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services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trained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health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care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providers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mothers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their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children</w:t>
      </w:r>
      <w:proofErr w:type="spellEnd"/>
    </w:p>
    <w:p w:rsidR="00D739FE" w:rsidRPr="00D739FE" w:rsidRDefault="00D739FE" w:rsidP="00D739FE">
      <w:pPr>
        <w:numPr>
          <w:ilvl w:val="0"/>
          <w:numId w:val="7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Supporting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studies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related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maternal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child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health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bookmarkStart w:id="4" w:name="basic"/>
      <w:bookmarkEnd w:id="4"/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Basic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education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literacy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   </w:t>
      </w:r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Rotary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Foundation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promotes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education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literacy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all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</w:p>
    <w:p w:rsidR="00D739FE" w:rsidRPr="00D739FE" w:rsidRDefault="00D739FE" w:rsidP="00D739FE">
      <w:pPr>
        <w:numPr>
          <w:ilvl w:val="0"/>
          <w:numId w:val="8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Ensuring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that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children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have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access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quality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basic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education</w:t>
      </w:r>
      <w:proofErr w:type="spellEnd"/>
    </w:p>
    <w:p w:rsidR="00D739FE" w:rsidRPr="00D739FE" w:rsidRDefault="00D739FE" w:rsidP="00D739FE">
      <w:pPr>
        <w:numPr>
          <w:ilvl w:val="0"/>
          <w:numId w:val="8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Reducing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gender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disparity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in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education</w:t>
      </w:r>
      <w:proofErr w:type="spellEnd"/>
    </w:p>
    <w:p w:rsidR="00D739FE" w:rsidRPr="00D739FE" w:rsidRDefault="00D739FE" w:rsidP="00D739FE">
      <w:pPr>
        <w:numPr>
          <w:ilvl w:val="0"/>
          <w:numId w:val="8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Increasing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adult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literacy</w:t>
      </w:r>
      <w:proofErr w:type="spellEnd"/>
    </w:p>
    <w:p w:rsidR="00D739FE" w:rsidRPr="00D739FE" w:rsidRDefault="00D739FE" w:rsidP="00D739FE">
      <w:pPr>
        <w:numPr>
          <w:ilvl w:val="0"/>
          <w:numId w:val="8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Strengthening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capacity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support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basic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education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literacy</w:t>
      </w:r>
      <w:proofErr w:type="spellEnd"/>
    </w:p>
    <w:p w:rsidR="00D739FE" w:rsidRPr="00D739FE" w:rsidRDefault="00D739FE" w:rsidP="00D739FE">
      <w:pPr>
        <w:numPr>
          <w:ilvl w:val="0"/>
          <w:numId w:val="8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lastRenderedPageBreak/>
        <w:t>Supporting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studies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related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basic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education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literacy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bookmarkStart w:id="5" w:name="economic"/>
      <w:bookmarkEnd w:id="5"/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Economic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community</w:t>
      </w:r>
      <w:proofErr w:type="spellEnd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b/>
          <w:bCs/>
          <w:color w:val="777777"/>
          <w:sz w:val="18"/>
          <w:lang w:eastAsia="tr-TR"/>
        </w:rPr>
        <w:t>development</w:t>
      </w:r>
      <w:proofErr w:type="spellEnd"/>
    </w:p>
    <w:p w:rsidR="00D739FE" w:rsidRPr="00D739FE" w:rsidRDefault="00D739FE" w:rsidP="00D739FE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Rotary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Foundation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invests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in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people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create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measurable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enduring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economic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improvement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in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their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lives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by</w:t>
      </w:r>
      <w:proofErr w:type="spellEnd"/>
    </w:p>
    <w:p w:rsidR="00D739FE" w:rsidRPr="00D739FE" w:rsidRDefault="00D739FE" w:rsidP="00D739FE">
      <w:pPr>
        <w:numPr>
          <w:ilvl w:val="0"/>
          <w:numId w:val="9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Strengthening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development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local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entrepreneurs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leaders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,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particularly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women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, in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impoverished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communities</w:t>
      </w:r>
      <w:proofErr w:type="spellEnd"/>
    </w:p>
    <w:p w:rsidR="00D739FE" w:rsidRPr="00D739FE" w:rsidRDefault="00D739FE" w:rsidP="00D739FE">
      <w:pPr>
        <w:numPr>
          <w:ilvl w:val="0"/>
          <w:numId w:val="9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Developing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opportunities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decent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productive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work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,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particularly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for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youth</w:t>
      </w:r>
      <w:proofErr w:type="spellEnd"/>
    </w:p>
    <w:p w:rsidR="00D739FE" w:rsidRPr="00D739FE" w:rsidRDefault="00D739FE" w:rsidP="00D739FE">
      <w:pPr>
        <w:numPr>
          <w:ilvl w:val="0"/>
          <w:numId w:val="9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Building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the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capacity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of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local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organizations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networks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support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economic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development</w:t>
      </w:r>
      <w:proofErr w:type="spellEnd"/>
    </w:p>
    <w:p w:rsidR="00D739FE" w:rsidRPr="00D739FE" w:rsidRDefault="00D739FE" w:rsidP="00D739FE">
      <w:pPr>
        <w:numPr>
          <w:ilvl w:val="0"/>
          <w:numId w:val="9"/>
        </w:numPr>
        <w:shd w:val="clear" w:color="auto" w:fill="FFFFFF"/>
        <w:spacing w:before="75" w:after="0" w:line="408" w:lineRule="atLeast"/>
        <w:ind w:left="600" w:right="300"/>
        <w:rPr>
          <w:rFonts w:ascii="Arial" w:eastAsia="Times New Roman" w:hAnsi="Arial" w:cs="Arial"/>
          <w:color w:val="444444"/>
          <w:sz w:val="18"/>
          <w:szCs w:val="18"/>
          <w:lang w:eastAsia="tr-TR"/>
        </w:rPr>
      </w:pP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Supporting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studies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related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to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economic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and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community</w:t>
      </w:r>
      <w:proofErr w:type="spellEnd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 xml:space="preserve"> </w:t>
      </w:r>
      <w:proofErr w:type="spellStart"/>
      <w:r w:rsidRPr="00D739FE">
        <w:rPr>
          <w:rFonts w:ascii="Arial" w:eastAsia="Times New Roman" w:hAnsi="Arial" w:cs="Arial"/>
          <w:color w:val="444444"/>
          <w:sz w:val="18"/>
          <w:szCs w:val="18"/>
          <w:lang w:eastAsia="tr-TR"/>
        </w:rPr>
        <w:t>development</w:t>
      </w:r>
      <w:proofErr w:type="spellEnd"/>
    </w:p>
    <w:p w:rsidR="00D739FE" w:rsidRDefault="00D739FE" w:rsidP="00D739FE"/>
    <w:sectPr w:rsidR="00D739FE" w:rsidSect="003F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5A4"/>
    <w:multiLevelType w:val="multilevel"/>
    <w:tmpl w:val="D7A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73C58"/>
    <w:multiLevelType w:val="hybridMultilevel"/>
    <w:tmpl w:val="7C10166C"/>
    <w:lvl w:ilvl="0" w:tplc="C4F44F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77777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33278"/>
    <w:multiLevelType w:val="hybridMultilevel"/>
    <w:tmpl w:val="E3EED1D8"/>
    <w:lvl w:ilvl="0" w:tplc="C4F44F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77777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94E8C"/>
    <w:multiLevelType w:val="multilevel"/>
    <w:tmpl w:val="353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45280"/>
    <w:multiLevelType w:val="multilevel"/>
    <w:tmpl w:val="A418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70352"/>
    <w:multiLevelType w:val="multilevel"/>
    <w:tmpl w:val="1C30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563C6"/>
    <w:multiLevelType w:val="hybridMultilevel"/>
    <w:tmpl w:val="BDD2BF60"/>
    <w:lvl w:ilvl="0" w:tplc="C4F44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109E7"/>
    <w:multiLevelType w:val="multilevel"/>
    <w:tmpl w:val="1CC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F3B87"/>
    <w:multiLevelType w:val="multilevel"/>
    <w:tmpl w:val="F38A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34D6A"/>
    <w:multiLevelType w:val="multilevel"/>
    <w:tmpl w:val="665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06E88"/>
    <w:multiLevelType w:val="multilevel"/>
    <w:tmpl w:val="4FA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421"/>
    <w:rsid w:val="00337421"/>
    <w:rsid w:val="003F4C94"/>
    <w:rsid w:val="00D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94"/>
  </w:style>
  <w:style w:type="paragraph" w:styleId="Balk2">
    <w:name w:val="heading 2"/>
    <w:basedOn w:val="Normal"/>
    <w:link w:val="Balk2Char"/>
    <w:uiPriority w:val="9"/>
    <w:qFormat/>
    <w:rsid w:val="00D73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D73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37421"/>
    <w:rPr>
      <w:b/>
      <w:bCs/>
    </w:rPr>
  </w:style>
  <w:style w:type="character" w:customStyle="1" w:styleId="apple-converted-space">
    <w:name w:val="apple-converted-space"/>
    <w:basedOn w:val="VarsaylanParagrafYazTipi"/>
    <w:rsid w:val="00337421"/>
  </w:style>
  <w:style w:type="character" w:customStyle="1" w:styleId="apple-style-span">
    <w:name w:val="apple-style-span"/>
    <w:basedOn w:val="VarsaylanParagrafYazTipi"/>
    <w:rsid w:val="00337421"/>
  </w:style>
  <w:style w:type="paragraph" w:styleId="ListeParagraf">
    <w:name w:val="List Paragraph"/>
    <w:basedOn w:val="Normal"/>
    <w:uiPriority w:val="34"/>
    <w:qFormat/>
    <w:rsid w:val="00D739F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739F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739F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intro">
    <w:name w:val="intro"/>
    <w:basedOn w:val="Normal"/>
    <w:rsid w:val="00D7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73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/en/Members/RunningADistrict/FutureVisionPilotProgram/Pages/AreasofFocu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tary.org/en/Members/RunningADistrict/FutureVisionPilotProgram/Pages/AreasofFocus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org/en/Members/RunningADistrict/FutureVisionPilotProgram/Pages/AreasofFocus.aspx" TargetMode="External"/><Relationship Id="rId11" Type="http://schemas.openxmlformats.org/officeDocument/2006/relationships/hyperlink" Target="http://www.rotary.org/en/Members/RunningADistrict/FutureVisionPilotProgram/Pages/AreasofFocus.aspx" TargetMode="External"/><Relationship Id="rId5" Type="http://schemas.openxmlformats.org/officeDocument/2006/relationships/hyperlink" Target="http://www.rotary.org/RIdocuments/en_pdf/fv_developing_eligible_projects_en.pdf" TargetMode="External"/><Relationship Id="rId10" Type="http://schemas.openxmlformats.org/officeDocument/2006/relationships/hyperlink" Target="http://www.rotary.org/en/Members/RunningADistrict/FutureVisionPilotProgram/Pages/AreasofFocu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ary.org/en/Members/RunningADistrict/FutureVisionPilotProgram/Pages/AreasofFocus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4058</Characters>
  <Application>Microsoft Office Word</Application>
  <DocSecurity>0</DocSecurity>
  <Lines>33</Lines>
  <Paragraphs>9</Paragraphs>
  <ScaleCrop>false</ScaleCrop>
  <Company>TOSHIBA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2011-12-14T20:26:00Z</dcterms:created>
  <dcterms:modified xsi:type="dcterms:W3CDTF">2011-12-14T20:28:00Z</dcterms:modified>
</cp:coreProperties>
</file>